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A51C9B" w:rsidRPr="00A51C9B" w:rsidRDefault="00725AF3" w:rsidP="00A51C9B">
      <w:pPr>
        <w:jc w:val="center"/>
        <w:rPr>
          <w:rFonts w:ascii="PT Astra Serif" w:hAnsi="PT Astra Serif"/>
          <w:b/>
          <w:bCs/>
        </w:rPr>
      </w:pPr>
      <w:r>
        <w:rPr>
          <w:rFonts w:ascii="PT Astra Serif" w:hAnsi="PT Astra Serif"/>
          <w:b/>
          <w:bCs/>
        </w:rPr>
        <w:t>на выполнение работ  по демонтажу ограждения в сквере по улице Железнодорожная  в городе Югорске</w:t>
      </w:r>
    </w:p>
    <w:p w:rsidR="004D255B"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Ханты - Мансийский авто</w:t>
      </w:r>
      <w:r w:rsidR="00725AF3">
        <w:rPr>
          <w:rFonts w:ascii="PT Astra Serif" w:hAnsi="PT Astra Serif"/>
        </w:rPr>
        <w:t>номный округ - Югра,</w:t>
      </w:r>
      <w:r w:rsidR="00515BBB">
        <w:rPr>
          <w:rFonts w:ascii="PT Astra Serif" w:hAnsi="PT Astra Serif"/>
        </w:rPr>
        <w:t xml:space="preserve"> г. Югорск, ул. Железнодорожная  между домами № 14 и №16 </w:t>
      </w:r>
      <w:r w:rsidR="00A14FE3">
        <w:rPr>
          <w:rFonts w:ascii="PT Astra Serif" w:hAnsi="PT Astra Serif"/>
        </w:rPr>
        <w:t>.</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xml:space="preserve">- начало: </w:t>
      </w:r>
      <w:proofErr w:type="gramStart"/>
      <w:r w:rsidRPr="00D8138A">
        <w:rPr>
          <w:rFonts w:ascii="PT Astra Serif" w:hAnsi="PT Astra Serif"/>
        </w:rPr>
        <w:t>с даты заключения</w:t>
      </w:r>
      <w:proofErr w:type="gramEnd"/>
      <w:r w:rsidRPr="00D8138A">
        <w:rPr>
          <w:rFonts w:ascii="PT Astra Serif" w:hAnsi="PT Astra Serif"/>
        </w:rPr>
        <w:t xml:space="preserve"> муниципального контракта;</w:t>
      </w:r>
    </w:p>
    <w:p w:rsidR="00E058C8" w:rsidRPr="004A19E2" w:rsidRDefault="00E058C8" w:rsidP="00E058C8">
      <w:pPr>
        <w:autoSpaceDE w:val="0"/>
        <w:autoSpaceDN w:val="0"/>
        <w:adjustRightInd w:val="0"/>
        <w:spacing w:after="0"/>
        <w:ind w:right="-262"/>
        <w:rPr>
          <w:rFonts w:ascii="PT Astra Serif" w:hAnsi="PT Astra Serif"/>
        </w:rPr>
      </w:pPr>
      <w:r w:rsidRPr="004A19E2">
        <w:rPr>
          <w:rFonts w:ascii="PT Astra Serif" w:hAnsi="PT Astra Serif"/>
        </w:rPr>
        <w:t xml:space="preserve">- окончание: </w:t>
      </w:r>
      <w:r w:rsidR="00725AF3">
        <w:rPr>
          <w:rFonts w:ascii="PT Astra Serif" w:hAnsi="PT Astra Serif"/>
        </w:rPr>
        <w:t>06</w:t>
      </w:r>
      <w:r w:rsidRPr="004A19E2">
        <w:rPr>
          <w:rFonts w:ascii="PT Astra Serif" w:hAnsi="PT Astra Serif"/>
        </w:rPr>
        <w:t>.0</w:t>
      </w:r>
      <w:r w:rsidR="004A19E2" w:rsidRPr="004A19E2">
        <w:rPr>
          <w:rFonts w:ascii="PT Astra Serif" w:hAnsi="PT Astra Serif"/>
        </w:rPr>
        <w:t>8</w:t>
      </w:r>
      <w:r w:rsidRPr="004A19E2">
        <w:rPr>
          <w:rFonts w:ascii="PT Astra Serif" w:hAnsi="PT Astra Serif"/>
        </w:rPr>
        <w:t>.2024</w:t>
      </w:r>
    </w:p>
    <w:p w:rsidR="005100F5" w:rsidRDefault="005100F5" w:rsidP="005100F5">
      <w:pPr>
        <w:spacing w:after="0"/>
        <w:rPr>
          <w:rFonts w:ascii="PT Astra Serif" w:hAnsi="PT Astra Serif"/>
        </w:rPr>
      </w:pPr>
      <w:r w:rsidRPr="004A19E2">
        <w:rPr>
          <w:rFonts w:ascii="PT Astra Serif" w:hAnsi="PT Astra Serif"/>
        </w:rPr>
        <w:t xml:space="preserve">Срок исполнения контракта: </w:t>
      </w:r>
      <w:proofErr w:type="gramStart"/>
      <w:r w:rsidRPr="004A19E2">
        <w:rPr>
          <w:rFonts w:ascii="PT Astra Serif" w:hAnsi="PT Astra Serif"/>
        </w:rPr>
        <w:t>с даты заключения</w:t>
      </w:r>
      <w:proofErr w:type="gramEnd"/>
      <w:r w:rsidRPr="004A19E2">
        <w:rPr>
          <w:rFonts w:ascii="PT Astra Serif" w:hAnsi="PT Astra Serif"/>
        </w:rPr>
        <w:t xml:space="preserve"> муниципального контракта по </w:t>
      </w:r>
      <w:r w:rsidR="00725AF3">
        <w:rPr>
          <w:rFonts w:ascii="PT Astra Serif" w:hAnsi="PT Astra Serif"/>
        </w:rPr>
        <w:t>12</w:t>
      </w:r>
      <w:r w:rsidR="001615FB" w:rsidRPr="004A19E2">
        <w:rPr>
          <w:rFonts w:ascii="PT Astra Serif" w:hAnsi="PT Astra Serif"/>
        </w:rPr>
        <w:t>.09.2024</w:t>
      </w:r>
    </w:p>
    <w:p w:rsidR="008D5D90" w:rsidRPr="001A2F96" w:rsidRDefault="005100F5" w:rsidP="001A2F96">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w:t>
      </w:r>
      <w:r w:rsidR="00725AF3">
        <w:rPr>
          <w:rFonts w:ascii="PT Astra Serif" w:hAnsi="PT Astra Serif"/>
          <w:bCs/>
        </w:rPr>
        <w:t xml:space="preserve"> затраты на утилизацию мусора,</w:t>
      </w:r>
      <w:r>
        <w:rPr>
          <w:rFonts w:ascii="PT Astra Serif" w:hAnsi="PT Astra Serif"/>
          <w:bCs/>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w:t>
      </w:r>
      <w:r w:rsidR="001A2F96">
        <w:rPr>
          <w:rFonts w:ascii="PT Astra Serif" w:hAnsi="PT Astra Serif"/>
          <w:bCs/>
        </w:rPr>
        <w:t xml:space="preserve"> объеме и надлежащего качества.</w:t>
      </w:r>
    </w:p>
    <w:p w:rsidR="001A2F96" w:rsidRPr="001A2F96" w:rsidRDefault="001A2F96" w:rsidP="001A2F96">
      <w:pPr>
        <w:spacing w:after="0"/>
        <w:contextualSpacing/>
        <w:rPr>
          <w:rFonts w:ascii="PT Astra Serif" w:hAnsi="PT Astra Serif"/>
          <w:b/>
          <w:bCs/>
          <w:kern w:val="1"/>
          <w:u w:val="single"/>
        </w:rPr>
      </w:pPr>
      <w:r w:rsidRPr="001A2F96">
        <w:rPr>
          <w:rFonts w:ascii="PT Astra Serif" w:hAnsi="PT Astra Serif"/>
          <w:b/>
          <w:bCs/>
          <w:kern w:val="1"/>
          <w:u w:val="single"/>
        </w:rPr>
        <w:t>Требования к сроку и объему предоставления гарантии качества работ:</w:t>
      </w:r>
    </w:p>
    <w:p w:rsidR="001A2F96" w:rsidRPr="001A2F96" w:rsidRDefault="001A2F96" w:rsidP="001A2F96">
      <w:pPr>
        <w:spacing w:after="0"/>
        <w:contextualSpacing/>
        <w:rPr>
          <w:rFonts w:ascii="PT Astra Serif" w:hAnsi="PT Astra Serif"/>
          <w:kern w:val="1"/>
        </w:rPr>
      </w:pPr>
      <w:r w:rsidRPr="001A2F96">
        <w:rPr>
          <w:rFonts w:ascii="PT Astra Serif" w:hAnsi="PT Astra Serif"/>
          <w:bCs/>
          <w:kern w:val="1"/>
        </w:rPr>
        <w:t>Подрядчик выполняет работы в соответствии с локально - сметным расчетом.</w:t>
      </w:r>
    </w:p>
    <w:p w:rsidR="001A2F96" w:rsidRPr="001A2F96" w:rsidRDefault="001A2F96" w:rsidP="001A2F96">
      <w:pPr>
        <w:suppressAutoHyphens w:val="0"/>
        <w:spacing w:after="0"/>
        <w:rPr>
          <w:rFonts w:ascii="PT Astra Serif" w:eastAsia="Calibri" w:hAnsi="PT Astra Serif"/>
          <w:color w:val="000000"/>
          <w:kern w:val="0"/>
          <w:lang w:eastAsia="en-US"/>
        </w:rPr>
      </w:pPr>
      <w:r w:rsidRPr="001A2F96">
        <w:rPr>
          <w:rFonts w:ascii="PT Astra Serif" w:eastAsia="Calibri" w:hAnsi="PT Astra Serif"/>
          <w:color w:val="000000"/>
          <w:kern w:val="0"/>
          <w:lang w:eastAsia="en-US"/>
        </w:rPr>
        <w:t xml:space="preserve">Подрядчик гарантирует соответствие результата работ требованиям технического задания и несет ответственность за отступления от них. </w:t>
      </w:r>
    </w:p>
    <w:p w:rsidR="00DF66C8" w:rsidRPr="00DF66C8" w:rsidRDefault="004B0EBB" w:rsidP="00DF66C8">
      <w:pPr>
        <w:tabs>
          <w:tab w:val="left" w:pos="0"/>
        </w:tabs>
        <w:suppressAutoHyphens w:val="0"/>
        <w:spacing w:after="0"/>
        <w:rPr>
          <w:rFonts w:ascii="PT Astra Serif" w:eastAsia="Calibri" w:hAnsi="PT Astra Serif"/>
          <w:kern w:val="0"/>
          <w:lang w:eastAsia="en-US"/>
        </w:rPr>
      </w:pPr>
      <w:r w:rsidRPr="004B0EBB">
        <w:rPr>
          <w:rFonts w:ascii="PT Astra Serif" w:eastAsia="Calibri" w:hAnsi="PT Astra Serif"/>
          <w:bCs/>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w:t>
      </w:r>
      <w:r>
        <w:rPr>
          <w:rFonts w:ascii="PT Astra Serif" w:eastAsia="Calibri" w:hAnsi="PT Astra Serif"/>
          <w:bCs/>
          <w:kern w:val="0"/>
          <w:lang w:eastAsia="ru-RU"/>
        </w:rPr>
        <w:t>в, выявленных при приемке работ</w:t>
      </w:r>
      <w:r w:rsidR="00DF66C8" w:rsidRPr="00DF66C8">
        <w:rPr>
          <w:rFonts w:ascii="PT Astra Serif" w:eastAsia="Calibri" w:hAnsi="PT Astra Serif"/>
          <w:kern w:val="0"/>
          <w:lang w:eastAsia="en-US"/>
        </w:rPr>
        <w:t>.</w:t>
      </w:r>
    </w:p>
    <w:p w:rsidR="00EE551F" w:rsidRPr="00EE551F" w:rsidRDefault="00EE551F" w:rsidP="009372A6">
      <w:pPr>
        <w:spacing w:after="0"/>
        <w:rPr>
          <w:rFonts w:ascii="PT Astra Serif" w:hAnsi="PT Astra Serif"/>
          <w:lang w:eastAsia="en-US"/>
        </w:rPr>
      </w:pPr>
      <w:r w:rsidRPr="00EE551F">
        <w:rPr>
          <w:rFonts w:ascii="PT Astra Serif" w:hAnsi="PT Astra Serif"/>
          <w:lang w:eastAsia="en-US"/>
        </w:rPr>
        <w:t>При производстве работ необходимо строго соблюдать требования Трудово</w:t>
      </w:r>
      <w:r w:rsidR="00BA7CC5">
        <w:rPr>
          <w:rFonts w:ascii="PT Astra Serif" w:hAnsi="PT Astra Serif"/>
          <w:lang w:eastAsia="en-US"/>
        </w:rPr>
        <w:t>го</w:t>
      </w:r>
      <w:r w:rsidRPr="00EE551F">
        <w:rPr>
          <w:rFonts w:ascii="PT Astra Serif" w:hAnsi="PT Astra Serif"/>
          <w:lang w:eastAsia="en-US"/>
        </w:rPr>
        <w:t xml:space="preserve"> кодекс</w:t>
      </w:r>
      <w:r w:rsidR="00BA7CC5">
        <w:rPr>
          <w:rFonts w:ascii="PT Astra Serif" w:hAnsi="PT Astra Serif"/>
          <w:lang w:eastAsia="en-US"/>
        </w:rPr>
        <w:t>а Российской Федерации</w:t>
      </w:r>
      <w:bookmarkStart w:id="0" w:name="_GoBack"/>
      <w:bookmarkEnd w:id="0"/>
      <w:r w:rsidRPr="00EE551F">
        <w:rPr>
          <w:rFonts w:ascii="PT Astra Serif" w:hAnsi="PT Astra Serif"/>
          <w:lang w:eastAsia="en-US"/>
        </w:rPr>
        <w:t>, Федеральн</w:t>
      </w:r>
      <w:r w:rsidR="00BA7CC5">
        <w:rPr>
          <w:rFonts w:ascii="PT Astra Serif" w:hAnsi="PT Astra Serif"/>
          <w:lang w:eastAsia="en-US"/>
        </w:rPr>
        <w:t>ый</w:t>
      </w:r>
      <w:r w:rsidRPr="00EE551F">
        <w:rPr>
          <w:rFonts w:ascii="PT Astra Serif" w:hAnsi="PT Astra Serif"/>
          <w:lang w:eastAsia="en-US"/>
        </w:rPr>
        <w:t xml:space="preserve"> закон от 21.12.1994 г. № 69-ФЗ «О пожарной безопасности». </w:t>
      </w:r>
    </w:p>
    <w:p w:rsidR="008D5D90" w:rsidRPr="004464CA" w:rsidRDefault="008D5D90" w:rsidP="00DF66C8">
      <w:pPr>
        <w:widowControl w:val="0"/>
        <w:spacing w:after="0"/>
        <w:jc w:val="left"/>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w:t>
      </w:r>
      <w:r w:rsidR="00515BBB">
        <w:rPr>
          <w:rFonts w:ascii="PT Astra Serif" w:eastAsia="Calibri" w:hAnsi="PT Astra Serif"/>
          <w:bCs/>
          <w:kern w:val="0"/>
          <w:lang w:eastAsia="ru-RU"/>
        </w:rPr>
        <w:t>м</w:t>
      </w:r>
      <w:r w:rsidRPr="007C08EE">
        <w:rPr>
          <w:rFonts w:ascii="PT Astra Serif" w:eastAsia="Calibri" w:hAnsi="PT Astra Serif"/>
          <w:bCs/>
          <w:kern w:val="0"/>
          <w:lang w:eastAsia="ru-RU"/>
        </w:rPr>
        <w:t xml:space="preserve">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93"/>
        <w:gridCol w:w="1680"/>
        <w:gridCol w:w="478"/>
        <w:gridCol w:w="876"/>
        <w:gridCol w:w="436"/>
        <w:gridCol w:w="430"/>
        <w:gridCol w:w="287"/>
        <w:gridCol w:w="1143"/>
        <w:gridCol w:w="1143"/>
        <w:gridCol w:w="1544"/>
        <w:gridCol w:w="1605"/>
        <w:gridCol w:w="1143"/>
        <w:gridCol w:w="828"/>
        <w:gridCol w:w="1143"/>
        <w:gridCol w:w="204"/>
        <w:gridCol w:w="850"/>
        <w:gridCol w:w="1637"/>
      </w:tblGrid>
      <w:tr w:rsidR="001A2F96" w:rsidRPr="00DF66C8" w:rsidTr="00DF66C8">
        <w:trPr>
          <w:trHeight w:val="450"/>
        </w:trPr>
        <w:tc>
          <w:tcPr>
            <w:tcW w:w="5000" w:type="pct"/>
            <w:gridSpan w:val="17"/>
            <w:shd w:val="clear" w:color="auto" w:fill="auto"/>
            <w:noWrap/>
            <w:vAlign w:val="bottom"/>
            <w:hideMark/>
          </w:tcPr>
          <w:p w:rsidR="001A2F96" w:rsidRPr="00DF66C8" w:rsidRDefault="001A2F96" w:rsidP="001A2F96">
            <w:pPr>
              <w:suppressAutoHyphens w:val="0"/>
              <w:spacing w:after="0"/>
              <w:jc w:val="center"/>
              <w:rPr>
                <w:rFonts w:ascii="PT Astra Serif" w:hAnsi="PT Astra Serif" w:cs="Arial"/>
                <w:b/>
                <w:bCs/>
                <w:kern w:val="0"/>
                <w:lang w:eastAsia="ru-RU"/>
              </w:rPr>
            </w:pPr>
            <w:r w:rsidRPr="00DF66C8">
              <w:rPr>
                <w:rFonts w:ascii="PT Astra Serif" w:hAnsi="PT Astra Serif" w:cs="Arial"/>
                <w:b/>
                <w:bCs/>
                <w:kern w:val="0"/>
                <w:lang w:eastAsia="ru-RU"/>
              </w:rPr>
              <w:lastRenderedPageBreak/>
              <w:t xml:space="preserve">ЛОКАЛЬНЫЙ СМЕТНЫЙ РАСЧЕТ (СМЕТА) </w:t>
            </w:r>
          </w:p>
        </w:tc>
      </w:tr>
      <w:tr w:rsidR="001A2F96" w:rsidRPr="00DF66C8" w:rsidTr="00DF66C8">
        <w:trPr>
          <w:trHeight w:val="360"/>
        </w:trPr>
        <w:tc>
          <w:tcPr>
            <w:tcW w:w="5000" w:type="pct"/>
            <w:gridSpan w:val="17"/>
            <w:shd w:val="clear" w:color="auto" w:fill="auto"/>
            <w:vAlign w:val="bottom"/>
            <w:hideMark/>
          </w:tcPr>
          <w:p w:rsidR="001A2F96" w:rsidRPr="00DF66C8" w:rsidRDefault="001A2F96" w:rsidP="001A2F96">
            <w:pPr>
              <w:suppressAutoHyphens w:val="0"/>
              <w:spacing w:after="0"/>
              <w:jc w:val="center"/>
              <w:rPr>
                <w:rFonts w:ascii="PT Astra Serif" w:hAnsi="PT Astra Serif" w:cs="Arial"/>
                <w:b/>
                <w:bCs/>
                <w:kern w:val="0"/>
                <w:lang w:eastAsia="ru-RU"/>
              </w:rPr>
            </w:pPr>
            <w:proofErr w:type="gramStart"/>
            <w:r w:rsidRPr="00DF66C8">
              <w:rPr>
                <w:rFonts w:ascii="PT Astra Serif" w:hAnsi="PT Astra Serif" w:cs="Arial"/>
                <w:b/>
                <w:bCs/>
                <w:kern w:val="0"/>
                <w:lang w:eastAsia="ru-RU"/>
              </w:rPr>
              <w:t>Выполнение работ по демонтажу ограждения в сквере по ул. Железнодорожная (возле "треста КСГ") в городе Югорске</w:t>
            </w:r>
            <w:proofErr w:type="gramEnd"/>
          </w:p>
        </w:tc>
      </w:tr>
      <w:tr w:rsidR="001A2F96" w:rsidRPr="00DF66C8" w:rsidTr="00DF66C8">
        <w:trPr>
          <w:trHeight w:val="300"/>
        </w:trPr>
        <w:tc>
          <w:tcPr>
            <w:tcW w:w="5000" w:type="pct"/>
            <w:gridSpan w:val="17"/>
            <w:shd w:val="clear" w:color="auto" w:fill="auto"/>
            <w:noWrap/>
            <w:hideMark/>
          </w:tcPr>
          <w:p w:rsidR="001A2F96" w:rsidRPr="00DF66C8" w:rsidRDefault="001A2F96" w:rsidP="001A2F96">
            <w:pPr>
              <w:suppressAutoHyphens w:val="0"/>
              <w:spacing w:after="0"/>
              <w:jc w:val="center"/>
              <w:rPr>
                <w:rFonts w:ascii="PT Astra Serif" w:hAnsi="PT Astra Serif" w:cs="Arial"/>
                <w:i/>
                <w:iCs/>
                <w:kern w:val="0"/>
                <w:lang w:eastAsia="ru-RU"/>
              </w:rPr>
            </w:pPr>
            <w:r w:rsidRPr="00DF66C8">
              <w:rPr>
                <w:rFonts w:ascii="PT Astra Serif" w:hAnsi="PT Astra Serif" w:cs="Arial"/>
                <w:i/>
                <w:iCs/>
                <w:kern w:val="0"/>
                <w:lang w:eastAsia="ru-RU"/>
              </w:rPr>
              <w:t xml:space="preserve"> (наименование работ и затрат)</w:t>
            </w:r>
          </w:p>
        </w:tc>
      </w:tr>
      <w:tr w:rsidR="001A2F96" w:rsidRPr="00DF66C8" w:rsidTr="00DF66C8">
        <w:trPr>
          <w:trHeight w:val="276"/>
        </w:trPr>
        <w:tc>
          <w:tcPr>
            <w:tcW w:w="155" w:type="pct"/>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w:t>
            </w:r>
            <w:proofErr w:type="gramStart"/>
            <w:r w:rsidRPr="00DF66C8">
              <w:rPr>
                <w:rFonts w:ascii="PT Astra Serif" w:hAnsi="PT Astra Serif" w:cs="Arial"/>
                <w:color w:val="000000"/>
                <w:kern w:val="0"/>
                <w:lang w:eastAsia="ru-RU"/>
              </w:rPr>
              <w:t>п</w:t>
            </w:r>
            <w:proofErr w:type="gramEnd"/>
            <w:r w:rsidRPr="00DF66C8">
              <w:rPr>
                <w:rFonts w:ascii="PT Astra Serif" w:hAnsi="PT Astra Serif" w:cs="Arial"/>
                <w:color w:val="000000"/>
                <w:kern w:val="0"/>
                <w:lang w:eastAsia="ru-RU"/>
              </w:rPr>
              <w:t>/п</w:t>
            </w:r>
          </w:p>
        </w:tc>
        <w:tc>
          <w:tcPr>
            <w:tcW w:w="528" w:type="pct"/>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Обоснование</w:t>
            </w:r>
          </w:p>
        </w:tc>
        <w:tc>
          <w:tcPr>
            <w:tcW w:w="787" w:type="pct"/>
            <w:gridSpan w:val="5"/>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Наименование работ и затрат</w:t>
            </w:r>
          </w:p>
        </w:tc>
        <w:tc>
          <w:tcPr>
            <w:tcW w:w="359" w:type="pct"/>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Единица измерения</w:t>
            </w:r>
          </w:p>
        </w:tc>
        <w:tc>
          <w:tcPr>
            <w:tcW w:w="1348" w:type="pct"/>
            <w:gridSpan w:val="3"/>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Количество</w:t>
            </w:r>
          </w:p>
        </w:tc>
        <w:tc>
          <w:tcPr>
            <w:tcW w:w="1823" w:type="pct"/>
            <w:gridSpan w:val="6"/>
            <w:vMerge w:val="restar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Сметная стоимость, руб.</w:t>
            </w:r>
          </w:p>
        </w:tc>
      </w:tr>
      <w:tr w:rsidR="001A2F96" w:rsidRPr="00DF66C8" w:rsidTr="00DF66C8">
        <w:trPr>
          <w:trHeight w:val="276"/>
        </w:trPr>
        <w:tc>
          <w:tcPr>
            <w:tcW w:w="155"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528"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787" w:type="pct"/>
            <w:gridSpan w:val="5"/>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359"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1348" w:type="pct"/>
            <w:gridSpan w:val="3"/>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1823" w:type="pct"/>
            <w:gridSpan w:val="6"/>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r>
      <w:tr w:rsidR="001A2F96" w:rsidRPr="00DF66C8" w:rsidTr="00DF66C8">
        <w:trPr>
          <w:trHeight w:val="1080"/>
        </w:trPr>
        <w:tc>
          <w:tcPr>
            <w:tcW w:w="155"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528"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787" w:type="pct"/>
            <w:gridSpan w:val="5"/>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359" w:type="pct"/>
            <w:vMerge/>
            <w:vAlign w:val="center"/>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359"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на единицу измерения</w:t>
            </w:r>
          </w:p>
        </w:tc>
        <w:tc>
          <w:tcPr>
            <w:tcW w:w="485"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коэффициенты</w:t>
            </w:r>
          </w:p>
        </w:tc>
        <w:tc>
          <w:tcPr>
            <w:tcW w:w="504"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всего с учетом коэффициентов</w:t>
            </w:r>
          </w:p>
        </w:tc>
        <w:tc>
          <w:tcPr>
            <w:tcW w:w="359"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на единицу измерения в базисном уровне цен</w:t>
            </w:r>
          </w:p>
        </w:tc>
        <w:tc>
          <w:tcPr>
            <w:tcW w:w="260"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индекс</w:t>
            </w:r>
          </w:p>
        </w:tc>
        <w:tc>
          <w:tcPr>
            <w:tcW w:w="423" w:type="pct"/>
            <w:gridSpan w:val="2"/>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на единицу измерения в текущем уровне цен</w:t>
            </w:r>
          </w:p>
        </w:tc>
        <w:tc>
          <w:tcPr>
            <w:tcW w:w="267"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коэффициенты</w:t>
            </w:r>
          </w:p>
        </w:tc>
        <w:tc>
          <w:tcPr>
            <w:tcW w:w="514" w:type="pct"/>
            <w:shd w:val="clear" w:color="auto" w:fill="auto"/>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всего в текущем уровне цен</w:t>
            </w:r>
          </w:p>
        </w:tc>
      </w:tr>
      <w:tr w:rsidR="001A2F96" w:rsidRPr="00DF66C8" w:rsidTr="00DF66C8">
        <w:trPr>
          <w:trHeight w:val="315"/>
        </w:trPr>
        <w:tc>
          <w:tcPr>
            <w:tcW w:w="155"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w:t>
            </w:r>
          </w:p>
        </w:tc>
        <w:tc>
          <w:tcPr>
            <w:tcW w:w="528"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2</w:t>
            </w:r>
          </w:p>
        </w:tc>
        <w:tc>
          <w:tcPr>
            <w:tcW w:w="787" w:type="pct"/>
            <w:gridSpan w:val="5"/>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3</w:t>
            </w:r>
          </w:p>
        </w:tc>
        <w:tc>
          <w:tcPr>
            <w:tcW w:w="359"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4</w:t>
            </w:r>
          </w:p>
        </w:tc>
        <w:tc>
          <w:tcPr>
            <w:tcW w:w="359"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5</w:t>
            </w:r>
          </w:p>
        </w:tc>
        <w:tc>
          <w:tcPr>
            <w:tcW w:w="485"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6</w:t>
            </w:r>
          </w:p>
        </w:tc>
        <w:tc>
          <w:tcPr>
            <w:tcW w:w="504"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7</w:t>
            </w:r>
          </w:p>
        </w:tc>
        <w:tc>
          <w:tcPr>
            <w:tcW w:w="359"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8</w:t>
            </w:r>
          </w:p>
        </w:tc>
        <w:tc>
          <w:tcPr>
            <w:tcW w:w="260"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9</w:t>
            </w:r>
          </w:p>
        </w:tc>
        <w:tc>
          <w:tcPr>
            <w:tcW w:w="423" w:type="pct"/>
            <w:gridSpan w:val="2"/>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10</w:t>
            </w:r>
          </w:p>
        </w:tc>
        <w:tc>
          <w:tcPr>
            <w:tcW w:w="267"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11</w:t>
            </w:r>
          </w:p>
        </w:tc>
        <w:tc>
          <w:tcPr>
            <w:tcW w:w="514" w:type="pct"/>
            <w:shd w:val="clear" w:color="auto" w:fill="auto"/>
            <w:noWrap/>
            <w:vAlign w:val="center"/>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12</w:t>
            </w:r>
          </w:p>
        </w:tc>
      </w:tr>
      <w:tr w:rsidR="001A2F96" w:rsidRPr="00DF66C8" w:rsidTr="00DF66C8">
        <w:trPr>
          <w:trHeight w:val="315"/>
        </w:trPr>
        <w:tc>
          <w:tcPr>
            <w:tcW w:w="5000" w:type="pct"/>
            <w:gridSpan w:val="17"/>
            <w:shd w:val="clear" w:color="auto" w:fill="auto"/>
            <w:vAlign w:val="center"/>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Раздел 1. Демонтажные работы</w:t>
            </w:r>
          </w:p>
        </w:tc>
      </w:tr>
      <w:tr w:rsidR="001A2F96" w:rsidRPr="00DF66C8" w:rsidTr="00DF66C8">
        <w:trPr>
          <w:trHeight w:val="1260"/>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ГЭСН46-04-003-07</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Разборка железобетонных конструкций объемом более 1 м3 при помощи отбойных молотков из бетона марки: 150</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О</w:t>
            </w:r>
            <w:proofErr w:type="gramStart"/>
            <w:r w:rsidRPr="00DF66C8">
              <w:rPr>
                <w:rFonts w:ascii="PT Astra Serif" w:hAnsi="PT Astra Serif" w:cs="Arial"/>
                <w:kern w:val="0"/>
                <w:lang w:eastAsia="ru-RU"/>
              </w:rPr>
              <w:t>Т(</w:t>
            </w:r>
            <w:proofErr w:type="gramEnd"/>
            <w:r w:rsidRPr="00DF66C8">
              <w:rPr>
                <w:rFonts w:ascii="PT Astra Serif" w:hAnsi="PT Astra Serif" w:cs="Arial"/>
                <w:kern w:val="0"/>
                <w:lang w:eastAsia="ru-RU"/>
              </w:rPr>
              <w:t>ЗТ)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23,94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11 254,19</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1-100-30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Средний разряд работы 3,0</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23,94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23,94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470,10</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11 254,19</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ЭМ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1 818,37</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91.17.04-042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Аппараты для газовой сварки и резки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2,44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2,44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4,35</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1,62</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7,05</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17,20</w:t>
            </w:r>
          </w:p>
        </w:tc>
      </w:tr>
      <w:tr w:rsidR="001A2F96" w:rsidRPr="00DF66C8" w:rsidTr="00DF66C8">
        <w:trPr>
          <w:trHeight w:val="960"/>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91.18.01-508</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Компрессоры винтовые передвижные с электродвигателем, давление до 1 МПа (10 </w:t>
            </w:r>
            <w:proofErr w:type="spellStart"/>
            <w:proofErr w:type="gramStart"/>
            <w:r w:rsidRPr="00DF66C8">
              <w:rPr>
                <w:rFonts w:ascii="PT Astra Serif" w:hAnsi="PT Astra Serif" w:cs="Arial"/>
                <w:kern w:val="0"/>
                <w:lang w:eastAsia="ru-RU"/>
              </w:rPr>
              <w:t>атм</w:t>
            </w:r>
            <w:proofErr w:type="spellEnd"/>
            <w:proofErr w:type="gramEnd"/>
            <w:r w:rsidRPr="00DF66C8">
              <w:rPr>
                <w:rFonts w:ascii="PT Astra Serif" w:hAnsi="PT Astra Serif" w:cs="Arial"/>
                <w:kern w:val="0"/>
                <w:lang w:eastAsia="ru-RU"/>
              </w:rPr>
              <w:t xml:space="preserve">), производительность </w:t>
            </w:r>
            <w:r w:rsidRPr="00DF66C8">
              <w:rPr>
                <w:rFonts w:ascii="PT Astra Serif" w:hAnsi="PT Astra Serif" w:cs="Arial"/>
                <w:kern w:val="0"/>
                <w:lang w:eastAsia="ru-RU"/>
              </w:rPr>
              <w:lastRenderedPageBreak/>
              <w:t>до 5 м3/мин</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lastRenderedPageBreak/>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10,37</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10,37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115,43</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1,45</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167,37</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1 735,63</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91.21.10-002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Молотки отбойные пневматические при работе от передвижных компрессоров</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20,74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20,74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3,16</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65,54</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411,51</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01.3.02.03-0001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Ацетилен газообразный технический</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0,26</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0,26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340,41</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1,8</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612,74</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159,31</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01.3.02.08-0001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Кислород газообразный технический</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114,64</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1,1</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126,10</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252,20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Итого прямые затраты</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13 484,07</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ФОТ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11 254,19</w:t>
            </w:r>
          </w:p>
        </w:tc>
      </w:tr>
      <w:tr w:rsidR="001A2F96" w:rsidRPr="00DF66C8" w:rsidTr="00DF66C8">
        <w:trPr>
          <w:trHeight w:val="15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/812-040.2-3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10 353,85</w:t>
            </w:r>
          </w:p>
        </w:tc>
      </w:tr>
      <w:tr w:rsidR="001A2F96" w:rsidRPr="00DF66C8" w:rsidTr="00DF66C8">
        <w:trPr>
          <w:trHeight w:val="15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/774-040.2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СП Работы по реконструкции зданий и сооружений: разборка отдельных конструктивных элементов здания (сооружения), а также зданий (сооружений) </w:t>
            </w:r>
            <w:r w:rsidRPr="00DF66C8">
              <w:rPr>
                <w:rFonts w:ascii="PT Astra Serif" w:hAnsi="PT Astra Serif" w:cs="Arial"/>
                <w:kern w:val="0"/>
                <w:lang w:eastAsia="ru-RU"/>
              </w:rPr>
              <w:lastRenderedPageBreak/>
              <w:t>в целом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lastRenderedPageBreak/>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5 852,18</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29 690,10</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29 690,10</w:t>
            </w:r>
          </w:p>
        </w:tc>
      </w:tr>
      <w:tr w:rsidR="001A2F96" w:rsidRPr="00DF66C8" w:rsidTr="00DF66C8">
        <w:trPr>
          <w:trHeight w:val="690"/>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ГЭСН46-04-001-04</w:t>
            </w:r>
            <w:r w:rsidRPr="00DF66C8">
              <w:rPr>
                <w:rFonts w:ascii="PT Astra Serif" w:hAnsi="PT Astra Serif" w:cs="Arial"/>
                <w:b/>
                <w:bCs/>
                <w:color w:val="000000"/>
                <w:kern w:val="0"/>
                <w:lang w:eastAsia="ru-RU"/>
              </w:rPr>
              <w:br/>
              <w:t>применительно</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Демонтаж кирпичного ограждения// Разборка: кирпичных стен</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18,7</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18,7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О</w:t>
            </w:r>
            <w:proofErr w:type="gramStart"/>
            <w:r w:rsidRPr="00DF66C8">
              <w:rPr>
                <w:rFonts w:ascii="PT Astra Serif" w:hAnsi="PT Astra Serif" w:cs="Arial"/>
                <w:kern w:val="0"/>
                <w:lang w:eastAsia="ru-RU"/>
              </w:rPr>
              <w:t>Т(</w:t>
            </w:r>
            <w:proofErr w:type="gramEnd"/>
            <w:r w:rsidRPr="00DF66C8">
              <w:rPr>
                <w:rFonts w:ascii="PT Astra Serif" w:hAnsi="PT Astra Serif" w:cs="Arial"/>
                <w:kern w:val="0"/>
                <w:lang w:eastAsia="ru-RU"/>
              </w:rPr>
              <w:t>ЗТ)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132,77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64 774,50</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1-100-33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Средний разряд работы 3,3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7,1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132,77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487,87</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64 774,50</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ЭМ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3 735,20</w:t>
            </w:r>
          </w:p>
        </w:tc>
      </w:tr>
      <w:tr w:rsidR="001A2F96" w:rsidRPr="00DF66C8" w:rsidTr="00DF66C8">
        <w:trPr>
          <w:trHeight w:val="12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91.18.01-508</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Компрессоры винтовые передвижные с электродвигателем, давление до 1 МПа (10 </w:t>
            </w:r>
            <w:proofErr w:type="spellStart"/>
            <w:proofErr w:type="gramStart"/>
            <w:r w:rsidRPr="00DF66C8">
              <w:rPr>
                <w:rFonts w:ascii="PT Astra Serif" w:hAnsi="PT Astra Serif" w:cs="Arial"/>
                <w:kern w:val="0"/>
                <w:lang w:eastAsia="ru-RU"/>
              </w:rPr>
              <w:t>атм</w:t>
            </w:r>
            <w:proofErr w:type="spellEnd"/>
            <w:proofErr w:type="gramEnd"/>
            <w:r w:rsidRPr="00DF66C8">
              <w:rPr>
                <w:rFonts w:ascii="PT Astra Serif" w:hAnsi="PT Astra Serif" w:cs="Arial"/>
                <w:kern w:val="0"/>
                <w:lang w:eastAsia="ru-RU"/>
              </w:rPr>
              <w:t>), производительность до 5 м3/мин</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1,15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21,505</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115,43</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1,45</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167,37</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3 599,29</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91.21.10-002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Молотки отбойные пневматические при работе от передвижных компрессоров</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43,01</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3,16</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135,91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Итого прямые затраты</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68 509,70</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ФОТ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64 774,50</w:t>
            </w:r>
          </w:p>
        </w:tc>
      </w:tr>
      <w:tr w:rsidR="001A2F96" w:rsidRPr="00DF66C8" w:rsidTr="00DF66C8">
        <w:trPr>
          <w:trHeight w:val="15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/812-040.2-3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59 592,54</w:t>
            </w:r>
          </w:p>
        </w:tc>
      </w:tr>
      <w:tr w:rsidR="001A2F96" w:rsidRPr="00DF66C8" w:rsidTr="00DF66C8">
        <w:trPr>
          <w:trHeight w:val="15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/774-040.2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33 682,74</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8 651,60</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161 784,98</w:t>
            </w:r>
          </w:p>
        </w:tc>
      </w:tr>
      <w:tr w:rsidR="001A2F96" w:rsidRPr="00DF66C8" w:rsidTr="00DF66C8">
        <w:trPr>
          <w:trHeight w:val="133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3</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ГЭСНр68-02-004-18</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Разборка тротуаров: из мелкоштучных искусственных материалов (брусчатка) на цементно-песчаном монтажном слое толщиной 50 мм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100 м</w:t>
            </w:r>
            <w:proofErr w:type="gramStart"/>
            <w:r w:rsidRPr="00DF66C8">
              <w:rPr>
                <w:rFonts w:ascii="PT Astra Serif" w:hAnsi="PT Astra Serif" w:cs="Arial"/>
                <w:b/>
                <w:bCs/>
                <w:color w:val="000000"/>
                <w:kern w:val="0"/>
                <w:lang w:eastAsia="ru-RU"/>
              </w:rPr>
              <w:t>2</w:t>
            </w:r>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0,6</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0,6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Объем=60 / 100</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О</w:t>
            </w:r>
            <w:proofErr w:type="gramStart"/>
            <w:r w:rsidRPr="00DF66C8">
              <w:rPr>
                <w:rFonts w:ascii="PT Astra Serif" w:hAnsi="PT Astra Serif" w:cs="Arial"/>
                <w:kern w:val="0"/>
                <w:lang w:eastAsia="ru-RU"/>
              </w:rPr>
              <w:t>Т(</w:t>
            </w:r>
            <w:proofErr w:type="gramEnd"/>
            <w:r w:rsidRPr="00DF66C8">
              <w:rPr>
                <w:rFonts w:ascii="PT Astra Serif" w:hAnsi="PT Astra Serif" w:cs="Arial"/>
                <w:kern w:val="0"/>
                <w:lang w:eastAsia="ru-RU"/>
              </w:rPr>
              <w:t>ЗТ)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171,252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76 446,89</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1-100-24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Средний разряд работы 2,4</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285,42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171,252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446,40</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76 446,89</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ЭМ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7 582,48</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15,456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8 269,34</w:t>
            </w:r>
          </w:p>
        </w:tc>
      </w:tr>
      <w:tr w:rsidR="001A2F96" w:rsidRPr="00DF66C8" w:rsidTr="00DF66C8">
        <w:trPr>
          <w:trHeight w:val="1290"/>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91.06.05-059</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1,85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1,11</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1 728,34</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1 918,46</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4-100-050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 xml:space="preserve">) Средний разряд машинистов 5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1,85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1,11</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608,36</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675,28</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91.08.06-003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Нарезчики швов, максимальная глубина резки 200 мм, мощность 9 кВт (12 </w:t>
            </w:r>
            <w:proofErr w:type="spellStart"/>
            <w:r w:rsidRPr="00DF66C8">
              <w:rPr>
                <w:rFonts w:ascii="PT Astra Serif" w:hAnsi="PT Astra Serif" w:cs="Arial"/>
                <w:kern w:val="0"/>
                <w:lang w:eastAsia="ru-RU"/>
              </w:rPr>
              <w:t>л.</w:t>
            </w:r>
            <w:proofErr w:type="gramStart"/>
            <w:r w:rsidRPr="00DF66C8">
              <w:rPr>
                <w:rFonts w:ascii="PT Astra Serif" w:hAnsi="PT Astra Serif" w:cs="Arial"/>
                <w:kern w:val="0"/>
                <w:lang w:eastAsia="ru-RU"/>
              </w:rPr>
              <w:t>с</w:t>
            </w:r>
            <w:proofErr w:type="spellEnd"/>
            <w:proofErr w:type="gram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0,24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0,144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100,65</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1,3</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130,85</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18,84</w:t>
            </w:r>
          </w:p>
        </w:tc>
      </w:tr>
      <w:tr w:rsidR="001A2F96" w:rsidRPr="00DF66C8" w:rsidTr="00DF66C8">
        <w:trPr>
          <w:trHeight w:val="9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91.13.01-024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Машины коммунально-уборочные, емкость бака 340 л, мощность 80 кВт (102 </w:t>
            </w:r>
            <w:proofErr w:type="spellStart"/>
            <w:r w:rsidRPr="00DF66C8">
              <w:rPr>
                <w:rFonts w:ascii="PT Astra Serif" w:hAnsi="PT Astra Serif" w:cs="Arial"/>
                <w:kern w:val="0"/>
                <w:lang w:eastAsia="ru-RU"/>
              </w:rPr>
              <w:t>л.</w:t>
            </w:r>
            <w:proofErr w:type="gramStart"/>
            <w:r w:rsidRPr="00DF66C8">
              <w:rPr>
                <w:rFonts w:ascii="PT Astra Serif" w:hAnsi="PT Astra Serif" w:cs="Arial"/>
                <w:kern w:val="0"/>
                <w:lang w:eastAsia="ru-RU"/>
              </w:rPr>
              <w:t>с</w:t>
            </w:r>
            <w:proofErr w:type="spellEnd"/>
            <w:proofErr w:type="gram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0,006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1 495,59</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1,33</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1 989,13</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11,93</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4-100-040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 xml:space="preserve">) Средний разряд машинистов 4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0,006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529,35</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3,18</w:t>
            </w:r>
          </w:p>
        </w:tc>
      </w:tr>
      <w:tr w:rsidR="001A2F96" w:rsidRPr="00DF66C8" w:rsidTr="00DF66C8">
        <w:trPr>
          <w:trHeight w:val="12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91.18.01-007</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Компрессоры винтовые передвижные с двигателем внутреннего сгорания, давление до 0,7 МПа (7 </w:t>
            </w:r>
            <w:proofErr w:type="spellStart"/>
            <w:proofErr w:type="gramStart"/>
            <w:r w:rsidRPr="00DF66C8">
              <w:rPr>
                <w:rFonts w:ascii="PT Astra Serif" w:hAnsi="PT Astra Serif" w:cs="Arial"/>
                <w:kern w:val="0"/>
                <w:lang w:eastAsia="ru-RU"/>
              </w:rPr>
              <w:t>атм</w:t>
            </w:r>
            <w:proofErr w:type="spellEnd"/>
            <w:proofErr w:type="gramEnd"/>
            <w:r w:rsidRPr="00DF66C8">
              <w:rPr>
                <w:rFonts w:ascii="PT Astra Serif" w:hAnsi="PT Astra Serif" w:cs="Arial"/>
                <w:kern w:val="0"/>
                <w:lang w:eastAsia="ru-RU"/>
              </w:rPr>
              <w:t>), производительность до 5,4 м3/мин</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23,9</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14,34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374,87</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5 375,64</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4-100-040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 xml:space="preserve">) Средний разряд машинистов 4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23,9</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14,34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529,35</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7 590,88</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91.21.10-004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Молотки чеканочные при работе от передвижных компрессорных установок</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37,4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22,44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7,81</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1,47</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11,48</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257,61</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1 973,83</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01.7.02.07-0021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Уголок картонный защитный</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68,3</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40,98</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10,16</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1,74</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17,68</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724,53</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01.7.03.01-0001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Вода</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0,0075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0,0045</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35,71</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1,46</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52,14</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0,23</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01.7.07.12-0024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Пленка полиэтиленовая, толщина 0,15 мм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м</w:t>
            </w:r>
            <w:proofErr w:type="gramStart"/>
            <w:r w:rsidRPr="00DF66C8">
              <w:rPr>
                <w:rFonts w:ascii="PT Astra Serif" w:hAnsi="PT Astra Serif" w:cs="Arial"/>
                <w:kern w:val="0"/>
                <w:lang w:eastAsia="ru-RU"/>
              </w:rPr>
              <w:t>2</w:t>
            </w:r>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24,5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14,7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12,83</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1,18</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15,14</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222,56</w:t>
            </w:r>
          </w:p>
        </w:tc>
      </w:tr>
      <w:tr w:rsidR="001A2F96" w:rsidRPr="00DF66C8" w:rsidTr="00DF66C8">
        <w:trPr>
          <w:trHeight w:val="9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08.3.02.01-0041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Ленты стальные упаковочные, мягкие, нормальной точности по толщине и ширине 0,7х20-50 мм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0,018</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0,0108</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89 073,20</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0,9</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80 165,88</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865,79</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11.2.04.06-0061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Поддон деревянный (евро), размеры 1200х800 мм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шт</w:t>
            </w:r>
            <w:proofErr w:type="spellEnd"/>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0,13</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0,078</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432,32</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1,32</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570,66</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44,51</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12.2.01.01-0021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Клипсы (зажимы)</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 xml:space="preserve">100 </w:t>
            </w:r>
            <w:proofErr w:type="spellStart"/>
            <w:proofErr w:type="gramStart"/>
            <w:r w:rsidRPr="00DF66C8">
              <w:rPr>
                <w:rFonts w:ascii="PT Astra Serif" w:hAnsi="PT Astra Serif" w:cs="Arial"/>
                <w:kern w:val="0"/>
                <w:lang w:eastAsia="ru-RU"/>
              </w:rPr>
              <w:t>шт</w:t>
            </w:r>
            <w:proofErr w:type="spellEnd"/>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0,51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0,306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237,35</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1,6</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379,76</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116,21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i/>
                <w:iCs/>
                <w:kern w:val="0"/>
                <w:lang w:eastAsia="ru-RU"/>
              </w:rPr>
            </w:pPr>
            <w:r w:rsidRPr="00DF66C8">
              <w:rPr>
                <w:rFonts w:ascii="PT Astra Serif" w:hAnsi="PT Astra Serif" w:cs="Arial"/>
                <w:i/>
                <w:iCs/>
                <w:kern w:val="0"/>
                <w:lang w:eastAsia="ru-RU"/>
              </w:rPr>
              <w:t>Н</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i/>
                <w:iCs/>
                <w:kern w:val="0"/>
                <w:lang w:eastAsia="ru-RU"/>
              </w:rPr>
            </w:pPr>
            <w:r w:rsidRPr="00DF66C8">
              <w:rPr>
                <w:rFonts w:ascii="PT Astra Serif" w:hAnsi="PT Astra Serif" w:cs="Arial"/>
                <w:i/>
                <w:iCs/>
                <w:kern w:val="0"/>
                <w:lang w:eastAsia="ru-RU"/>
              </w:rPr>
              <w:t>01.7.17.06</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i/>
                <w:iCs/>
                <w:kern w:val="0"/>
                <w:lang w:eastAsia="ru-RU"/>
              </w:rPr>
            </w:pPr>
            <w:r w:rsidRPr="00DF66C8">
              <w:rPr>
                <w:rFonts w:ascii="PT Astra Serif" w:hAnsi="PT Astra Serif" w:cs="Arial"/>
                <w:i/>
                <w:iCs/>
                <w:kern w:val="0"/>
                <w:lang w:eastAsia="ru-RU"/>
              </w:rPr>
              <w:t>Диск отрезной алмазный</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proofErr w:type="spellStart"/>
            <w:proofErr w:type="gramStart"/>
            <w:r w:rsidRPr="00DF66C8">
              <w:rPr>
                <w:rFonts w:ascii="PT Astra Serif" w:hAnsi="PT Astra Serif" w:cs="Arial"/>
                <w:i/>
                <w:iCs/>
                <w:kern w:val="0"/>
                <w:lang w:eastAsia="ru-RU"/>
              </w:rPr>
              <w:t>шт</w:t>
            </w:r>
            <w:proofErr w:type="spellEnd"/>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r w:rsidRPr="00DF66C8">
              <w:rPr>
                <w:rFonts w:ascii="PT Astra Serif" w:hAnsi="PT Astra Serif" w:cs="Arial"/>
                <w:i/>
                <w:iCs/>
                <w:kern w:val="0"/>
                <w:lang w:eastAsia="ru-RU"/>
              </w:rPr>
              <w:t>0,003</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r w:rsidRPr="00DF66C8">
              <w:rPr>
                <w:rFonts w:ascii="PT Astra Serif" w:hAnsi="PT Astra Serif" w:cs="Arial"/>
                <w:i/>
                <w:iCs/>
                <w:kern w:val="0"/>
                <w:lang w:eastAsia="ru-RU"/>
              </w:rPr>
              <w:t>0,0018</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i/>
                <w:iCs/>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i/>
                <w:iCs/>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i/>
                <w:iCs/>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i/>
                <w:iCs/>
                <w:kern w:val="0"/>
                <w:lang w:eastAsia="ru-RU"/>
              </w:rPr>
            </w:pPr>
            <w:r w:rsidRPr="00DF66C8">
              <w:rPr>
                <w:rFonts w:ascii="PT Astra Serif" w:hAnsi="PT Astra Serif" w:cs="Arial"/>
                <w:i/>
                <w:iCs/>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Итого прямые затраты</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94 272,54</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ФОТ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84 716,23</w:t>
            </w:r>
          </w:p>
        </w:tc>
      </w:tr>
      <w:tr w:rsidR="001A2F96" w:rsidRPr="00DF66C8" w:rsidTr="00DF66C8">
        <w:trPr>
          <w:trHeight w:val="6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/812-102.0-3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НР Благоустройство (</w:t>
            </w:r>
            <w:proofErr w:type="gramStart"/>
            <w:r w:rsidRPr="00DF66C8">
              <w:rPr>
                <w:rFonts w:ascii="PT Astra Serif" w:hAnsi="PT Astra Serif" w:cs="Arial"/>
                <w:kern w:val="0"/>
                <w:lang w:eastAsia="ru-RU"/>
              </w:rPr>
              <w:t>ремонтно-строительные</w:t>
            </w:r>
            <w:proofErr w:type="gram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103</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103</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87 257,72</w:t>
            </w:r>
          </w:p>
        </w:tc>
      </w:tr>
      <w:tr w:rsidR="001A2F96" w:rsidRPr="00DF66C8" w:rsidTr="00DF66C8">
        <w:trPr>
          <w:trHeight w:val="6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/774-102.0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СП Благоустройство (ремонтно-строительные)</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54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45 746,76</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378 795,03</w:t>
            </w: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227 277,02</w:t>
            </w:r>
          </w:p>
        </w:tc>
      </w:tr>
      <w:tr w:rsidR="00DF66C8"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50"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275"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7"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9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485"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423" w:type="pct"/>
            <w:gridSpan w:val="2"/>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267"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Итоги по разделу 1 Демонтажные работы</w:t>
            </w:r>
            <w:proofErr w:type="gramStart"/>
            <w:r w:rsidRPr="00DF66C8">
              <w:rPr>
                <w:rFonts w:ascii="PT Astra Serif" w:hAnsi="PT Astra Serif" w:cs="Arial"/>
                <w:b/>
                <w:bCs/>
                <w:color w:val="000000"/>
                <w:kern w:val="0"/>
                <w:lang w:eastAsia="ru-RU"/>
              </w:rPr>
              <w:t xml:space="preserve"> :</w:t>
            </w:r>
            <w:proofErr w:type="gramEnd"/>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прямые затраты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176 266,31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рабочих</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152 475,58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13 136,05</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8 269,34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2 385,34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418 752,10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152 475,58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 и механизмов</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13 136,05</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8 269,34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2 385,34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накладные расходы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157 204,11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сметная прибыль</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85 281,68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ФОТ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160 744,92</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накладные расходы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157 204,11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сметная прибыль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85 281,68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xml:space="preserve">  Итого по разделу 1 Демонтажные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418 752,10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xml:space="preserve">  </w:t>
            </w:r>
            <w:proofErr w:type="spellStart"/>
            <w:r w:rsidRPr="00DF66C8">
              <w:rPr>
                <w:rFonts w:ascii="PT Astra Serif" w:hAnsi="PT Astra Serif" w:cs="Arial"/>
                <w:b/>
                <w:bCs/>
                <w:color w:val="000000"/>
                <w:kern w:val="0"/>
                <w:lang w:eastAsia="ru-RU"/>
              </w:rPr>
              <w:t>Справочно</w:t>
            </w:r>
            <w:proofErr w:type="spellEnd"/>
          </w:p>
        </w:tc>
        <w:tc>
          <w:tcPr>
            <w:tcW w:w="514"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1990" w:type="pct"/>
            <w:gridSpan w:val="8"/>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затраты труда рабочих</w:t>
            </w:r>
          </w:p>
        </w:tc>
        <w:tc>
          <w:tcPr>
            <w:tcW w:w="50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327,962</w:t>
            </w:r>
          </w:p>
        </w:tc>
        <w:tc>
          <w:tcPr>
            <w:tcW w:w="1309" w:type="pct"/>
            <w:gridSpan w:val="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1990" w:type="pct"/>
            <w:gridSpan w:val="8"/>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затраты труда машинистов</w:t>
            </w:r>
          </w:p>
        </w:tc>
        <w:tc>
          <w:tcPr>
            <w:tcW w:w="50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15,456</w:t>
            </w:r>
          </w:p>
        </w:tc>
        <w:tc>
          <w:tcPr>
            <w:tcW w:w="1309" w:type="pct"/>
            <w:gridSpan w:val="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5000" w:type="pct"/>
            <w:gridSpan w:val="17"/>
            <w:shd w:val="clear" w:color="auto" w:fill="auto"/>
            <w:vAlign w:val="center"/>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Раздел 2. Вывоз мусора</w:t>
            </w:r>
          </w:p>
        </w:tc>
      </w:tr>
      <w:tr w:rsidR="001A2F96" w:rsidRPr="00DF66C8" w:rsidTr="00DF66C8">
        <w:trPr>
          <w:trHeight w:val="106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51-1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Погрузка в автотранспортное средство: прочие материалы, детали (с использованием погрузчика)</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41,12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41,12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654,03</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26 893,71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(Погрузо-разгрузочные работы при дополнительной перевозке)</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Объем=25,7*1,6</w:t>
            </w:r>
          </w:p>
        </w:tc>
      </w:tr>
      <w:tr w:rsidR="00DF66C8"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26 893,71</w:t>
            </w:r>
          </w:p>
        </w:tc>
      </w:tr>
      <w:tr w:rsidR="00DF66C8" w:rsidRPr="00DF66C8" w:rsidTr="00DF66C8">
        <w:trPr>
          <w:trHeight w:val="262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5</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02-15-1-01-0007</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41,12</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41,12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169,12</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6 954,21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Объем=25,7*1,6</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6 954,21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Калькуляция</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Утилизация строительного мусора</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25,7</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25,7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516,67</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13 278,42</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(Отдельные виды затрат, относимые на стоимость строительных работ)</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Цена=620,00/1,2</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13 278,42</w:t>
            </w:r>
          </w:p>
        </w:tc>
      </w:tr>
      <w:tr w:rsidR="00DF66C8"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50"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275"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7"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9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485"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Итоги по разделу 2 Вывоз мусора</w:t>
            </w:r>
            <w:proofErr w:type="gramStart"/>
            <w:r w:rsidRPr="00DF66C8">
              <w:rPr>
                <w:rFonts w:ascii="PT Astra Serif" w:hAnsi="PT Astra Serif" w:cs="Arial"/>
                <w:b/>
                <w:bCs/>
                <w:color w:val="000000"/>
                <w:kern w:val="0"/>
                <w:lang w:eastAsia="ru-RU"/>
              </w:rPr>
              <w:t xml:space="preserve"> :</w:t>
            </w:r>
            <w:proofErr w:type="gramEnd"/>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прямые затраты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47 126,34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40 172,13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Перевозка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6 954,21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47 126,34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40 172,13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40 172,13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Перевозка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6 954,21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xml:space="preserve">  Итого по разделу 2 Вывоз мусора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47 126,34</w:t>
            </w:r>
          </w:p>
        </w:tc>
      </w:tr>
      <w:tr w:rsidR="001A2F96" w:rsidRPr="00DF66C8" w:rsidTr="00DF66C8">
        <w:trPr>
          <w:trHeight w:val="315"/>
        </w:trPr>
        <w:tc>
          <w:tcPr>
            <w:tcW w:w="5000" w:type="pct"/>
            <w:gridSpan w:val="17"/>
            <w:shd w:val="clear" w:color="auto" w:fill="auto"/>
            <w:vAlign w:val="center"/>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Раздел 3. Планировка площадей</w:t>
            </w:r>
          </w:p>
        </w:tc>
      </w:tr>
      <w:tr w:rsidR="001A2F96" w:rsidRPr="00DF66C8" w:rsidTr="00DF66C8">
        <w:trPr>
          <w:trHeight w:val="94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7</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ГЭСН01-02-027-01</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Планировка площадей: механизированным способом, группа грунтов 1</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1000 м</w:t>
            </w:r>
            <w:proofErr w:type="gramStart"/>
            <w:r w:rsidRPr="00DF66C8">
              <w:rPr>
                <w:rFonts w:ascii="PT Astra Serif" w:hAnsi="PT Astra Serif" w:cs="Arial"/>
                <w:b/>
                <w:bCs/>
                <w:color w:val="000000"/>
                <w:kern w:val="0"/>
                <w:lang w:eastAsia="ru-RU"/>
              </w:rPr>
              <w:t>2</w:t>
            </w:r>
            <w:proofErr w:type="gramEnd"/>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0,4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0,4</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Объем=400 / 1000</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ЭМ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572,23</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0,336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238,92</w:t>
            </w:r>
          </w:p>
        </w:tc>
      </w:tr>
      <w:tr w:rsidR="001A2F96" w:rsidRPr="00DF66C8" w:rsidTr="00DF66C8">
        <w:trPr>
          <w:trHeight w:val="3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91.01.01-035</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Бульдозеры, мощность 79 кВт (108 </w:t>
            </w:r>
            <w:proofErr w:type="spellStart"/>
            <w:r w:rsidRPr="00DF66C8">
              <w:rPr>
                <w:rFonts w:ascii="PT Astra Serif" w:hAnsi="PT Astra Serif" w:cs="Arial"/>
                <w:kern w:val="0"/>
                <w:lang w:eastAsia="ru-RU"/>
              </w:rPr>
              <w:t>л.</w:t>
            </w:r>
            <w:proofErr w:type="gramStart"/>
            <w:r w:rsidRPr="00DF66C8">
              <w:rPr>
                <w:rFonts w:ascii="PT Astra Serif" w:hAnsi="PT Astra Serif" w:cs="Arial"/>
                <w:kern w:val="0"/>
                <w:lang w:eastAsia="ru-RU"/>
              </w:rPr>
              <w:t>с</w:t>
            </w:r>
            <w:proofErr w:type="spellEnd"/>
            <w:proofErr w:type="gram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887,54</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1,76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1 562,07</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312,41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4-100-060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 xml:space="preserve">) Средний разряд машинистов 6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0,5</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0,2</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711,07</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142,21</w:t>
            </w:r>
          </w:p>
        </w:tc>
      </w:tr>
      <w:tr w:rsidR="001A2F96" w:rsidRPr="00DF66C8" w:rsidTr="00DF66C8">
        <w:trPr>
          <w:trHeight w:val="615"/>
        </w:trPr>
        <w:tc>
          <w:tcPr>
            <w:tcW w:w="155" w:type="pct"/>
            <w:shd w:val="clear" w:color="auto" w:fill="auto"/>
            <w:vAlign w:val="center"/>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91.01.02-004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 xml:space="preserve">Автогрейдеры среднего типа, мощность 99 кВт (135 </w:t>
            </w:r>
            <w:proofErr w:type="spellStart"/>
            <w:r w:rsidRPr="00DF66C8">
              <w:rPr>
                <w:rFonts w:ascii="PT Astra Serif" w:hAnsi="PT Astra Serif" w:cs="Arial"/>
                <w:kern w:val="0"/>
                <w:lang w:eastAsia="ru-RU"/>
              </w:rPr>
              <w:t>л.</w:t>
            </w:r>
            <w:proofErr w:type="gramStart"/>
            <w:r w:rsidRPr="00DF66C8">
              <w:rPr>
                <w:rFonts w:ascii="PT Astra Serif" w:hAnsi="PT Astra Serif" w:cs="Arial"/>
                <w:kern w:val="0"/>
                <w:lang w:eastAsia="ru-RU"/>
              </w:rPr>
              <w:t>с</w:t>
            </w:r>
            <w:proofErr w:type="spellEnd"/>
            <w:proofErr w:type="gramEnd"/>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roofErr w:type="spellStart"/>
            <w:r w:rsidRPr="00DF66C8">
              <w:rPr>
                <w:rFonts w:ascii="PT Astra Serif" w:hAnsi="PT Astra Serif" w:cs="Arial"/>
                <w:kern w:val="0"/>
                <w:lang w:eastAsia="ru-RU"/>
              </w:rPr>
              <w:t>маш</w:t>
            </w:r>
            <w:proofErr w:type="spellEnd"/>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0,34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0,136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1 299,64</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1,47</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1 910,47</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259,82</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4-100-060</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proofErr w:type="spellStart"/>
            <w:r w:rsidRPr="00DF66C8">
              <w:rPr>
                <w:rFonts w:ascii="PT Astra Serif" w:hAnsi="PT Astra Serif" w:cs="Arial"/>
                <w:kern w:val="0"/>
                <w:lang w:eastAsia="ru-RU"/>
              </w:rPr>
              <w:t>ОТ</w:t>
            </w:r>
            <w:proofErr w:type="gramStart"/>
            <w:r w:rsidRPr="00DF66C8">
              <w:rPr>
                <w:rFonts w:ascii="PT Astra Serif" w:hAnsi="PT Astra Serif" w:cs="Arial"/>
                <w:kern w:val="0"/>
                <w:lang w:eastAsia="ru-RU"/>
              </w:rPr>
              <w:t>м</w:t>
            </w:r>
            <w:proofErr w:type="spellEnd"/>
            <w:r w:rsidRPr="00DF66C8">
              <w:rPr>
                <w:rFonts w:ascii="PT Astra Serif" w:hAnsi="PT Astra Serif" w:cs="Arial"/>
                <w:kern w:val="0"/>
                <w:lang w:eastAsia="ru-RU"/>
              </w:rPr>
              <w:t>(</w:t>
            </w:r>
            <w:proofErr w:type="spellStart"/>
            <w:proofErr w:type="gramEnd"/>
            <w:r w:rsidRPr="00DF66C8">
              <w:rPr>
                <w:rFonts w:ascii="PT Astra Serif" w:hAnsi="PT Astra Serif" w:cs="Arial"/>
                <w:kern w:val="0"/>
                <w:lang w:eastAsia="ru-RU"/>
              </w:rPr>
              <w:t>Зтм</w:t>
            </w:r>
            <w:proofErr w:type="spellEnd"/>
            <w:r w:rsidRPr="00DF66C8">
              <w:rPr>
                <w:rFonts w:ascii="PT Astra Serif" w:hAnsi="PT Astra Serif" w:cs="Arial"/>
                <w:kern w:val="0"/>
                <w:lang w:eastAsia="ru-RU"/>
              </w:rPr>
              <w:t xml:space="preserve">) Средний разряд машинистов 6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чел</w:t>
            </w:r>
            <w:proofErr w:type="gramStart"/>
            <w:r w:rsidRPr="00DF66C8">
              <w:rPr>
                <w:rFonts w:ascii="PT Astra Serif" w:hAnsi="PT Astra Serif" w:cs="Arial"/>
                <w:kern w:val="0"/>
                <w:lang w:eastAsia="ru-RU"/>
              </w:rPr>
              <w:t>.-</w:t>
            </w:r>
            <w:proofErr w:type="gramEnd"/>
            <w:r w:rsidRPr="00DF66C8">
              <w:rPr>
                <w:rFonts w:ascii="PT Astra Serif" w:hAnsi="PT Astra Serif" w:cs="Arial"/>
                <w:kern w:val="0"/>
                <w:lang w:eastAsia="ru-RU"/>
              </w:rPr>
              <w:t>ч</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0,34</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0,136</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711,07</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96,71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Итого прямые затраты</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811,15</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ФОТ</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238,92</w:t>
            </w:r>
          </w:p>
        </w:tc>
      </w:tr>
      <w:tr w:rsidR="001A2F96" w:rsidRPr="00DF66C8" w:rsidTr="00DF66C8">
        <w:trPr>
          <w:trHeight w:val="9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/812-001.4-3</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НР Земляные работы, выполняемые по другим видам работ (подготовительным, сопутствующим, укрепительным)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90</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90</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215,03</w:t>
            </w:r>
          </w:p>
        </w:tc>
      </w:tr>
      <w:tr w:rsidR="001A2F96" w:rsidRPr="00DF66C8" w:rsidTr="00DF66C8">
        <w:trPr>
          <w:trHeight w:val="915"/>
        </w:trPr>
        <w:tc>
          <w:tcPr>
            <w:tcW w:w="155"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roofErr w:type="spellStart"/>
            <w:proofErr w:type="gramStart"/>
            <w:r w:rsidRPr="00DF66C8">
              <w:rPr>
                <w:rFonts w:ascii="PT Astra Serif" w:hAnsi="PT Astra Serif" w:cs="Arial"/>
                <w:kern w:val="0"/>
                <w:lang w:eastAsia="ru-RU"/>
              </w:rPr>
              <w:t>Пр</w:t>
            </w:r>
            <w:proofErr w:type="spellEnd"/>
            <w:proofErr w:type="gramEnd"/>
            <w:r w:rsidRPr="00DF66C8">
              <w:rPr>
                <w:rFonts w:ascii="PT Astra Serif" w:hAnsi="PT Astra Serif" w:cs="Arial"/>
                <w:kern w:val="0"/>
                <w:lang w:eastAsia="ru-RU"/>
              </w:rPr>
              <w:t>/774-001.4</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kern w:val="0"/>
                <w:lang w:eastAsia="ru-RU"/>
              </w:rPr>
            </w:pPr>
            <w:r w:rsidRPr="00DF66C8">
              <w:rPr>
                <w:rFonts w:ascii="PT Astra Serif" w:hAnsi="PT Astra Serif" w:cs="Arial"/>
                <w:kern w:val="0"/>
                <w:lang w:eastAsia="ru-RU"/>
              </w:rPr>
              <w:t>СП Земляные работы, выполняемые по другим видам работ (подготовительным, сопутствующим, укрепительным)</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41</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r w:rsidRPr="00DF66C8">
              <w:rPr>
                <w:rFonts w:ascii="PT Astra Serif" w:hAnsi="PT Astra Serif" w:cs="Arial"/>
                <w:kern w:val="0"/>
                <w:lang w:eastAsia="ru-RU"/>
              </w:rPr>
              <w:t>41</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kern w:val="0"/>
                <w:lang w:eastAsia="ru-RU"/>
              </w:rPr>
            </w:pPr>
            <w:r w:rsidRPr="00DF66C8">
              <w:rPr>
                <w:rFonts w:ascii="PT Astra Serif" w:hAnsi="PT Astra Serif" w:cs="Arial"/>
                <w:kern w:val="0"/>
                <w:lang w:eastAsia="ru-RU"/>
              </w:rPr>
              <w:t>97,96</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2 810,35</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1 124,14</w:t>
            </w:r>
          </w:p>
        </w:tc>
      </w:tr>
      <w:tr w:rsidR="001A2F96" w:rsidRPr="00DF66C8" w:rsidTr="00DF66C8">
        <w:trPr>
          <w:trHeight w:val="630"/>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8</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ФСБЦ-02.3.01.02-1116</w:t>
            </w: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Песок природный для строительных работ II класс, мелкий</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м3</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88</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1</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88</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777,25</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68 398,00</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(Материалы для строительных работ)</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4318" w:type="pct"/>
            <w:gridSpan w:val="1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Объем=400*0,2*1,1</w:t>
            </w:r>
          </w:p>
        </w:tc>
      </w:tr>
      <w:tr w:rsidR="001A2F96"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787" w:type="pct"/>
            <w:gridSpan w:val="5"/>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позиции</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48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68 398,00</w:t>
            </w:r>
          </w:p>
        </w:tc>
      </w:tr>
      <w:tr w:rsidR="00DF66C8" w:rsidRPr="00DF66C8" w:rsidTr="00DF66C8">
        <w:trPr>
          <w:trHeight w:val="315"/>
        </w:trPr>
        <w:tc>
          <w:tcPr>
            <w:tcW w:w="15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528"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50"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275"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7" w:type="pct"/>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p>
        </w:tc>
        <w:tc>
          <w:tcPr>
            <w:tcW w:w="135"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9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485"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504"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260" w:type="pct"/>
            <w:shd w:val="clear" w:color="auto" w:fill="auto"/>
            <w:hideMark/>
          </w:tcPr>
          <w:p w:rsidR="001A2F96" w:rsidRPr="00DF66C8" w:rsidRDefault="001A2F96" w:rsidP="001A2F96">
            <w:pPr>
              <w:suppressAutoHyphens w:val="0"/>
              <w:spacing w:after="0"/>
              <w:jc w:val="center"/>
              <w:rPr>
                <w:rFonts w:ascii="PT Astra Serif" w:hAnsi="PT Astra Serif" w:cs="Arial"/>
                <w:b/>
                <w:bCs/>
                <w:color w:val="000000"/>
                <w:kern w:val="0"/>
                <w:lang w:eastAsia="ru-RU"/>
              </w:rPr>
            </w:pPr>
          </w:p>
        </w:tc>
        <w:tc>
          <w:tcPr>
            <w:tcW w:w="359"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31" w:type="pct"/>
            <w:gridSpan w:val="2"/>
            <w:shd w:val="clear" w:color="auto" w:fill="auto"/>
            <w:hideMark/>
          </w:tcPr>
          <w:p w:rsidR="001A2F96" w:rsidRPr="00DF66C8" w:rsidRDefault="001A2F96" w:rsidP="001A2F96">
            <w:pPr>
              <w:suppressAutoHyphens w:val="0"/>
              <w:spacing w:after="0"/>
              <w:jc w:val="center"/>
              <w:rPr>
                <w:rFonts w:ascii="PT Astra Serif" w:hAnsi="PT Astra Serif" w:cs="Arial"/>
                <w:color w:val="000000"/>
                <w:kern w:val="0"/>
                <w:lang w:eastAsia="ru-RU"/>
              </w:rPr>
            </w:pPr>
          </w:p>
        </w:tc>
        <w:tc>
          <w:tcPr>
            <w:tcW w:w="514"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Итоги по разделу 3 Планировка площадей</w:t>
            </w:r>
            <w:proofErr w:type="gramStart"/>
            <w:r w:rsidRPr="00DF66C8">
              <w:rPr>
                <w:rFonts w:ascii="PT Astra Serif" w:hAnsi="PT Astra Serif" w:cs="Arial"/>
                <w:b/>
                <w:bCs/>
                <w:color w:val="000000"/>
                <w:kern w:val="0"/>
                <w:lang w:eastAsia="ru-RU"/>
              </w:rPr>
              <w:t xml:space="preserve"> :</w:t>
            </w:r>
            <w:proofErr w:type="gramEnd"/>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прямые затраты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69 209,15</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572,23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238,92</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68 398,00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69 522,14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 и механизмов</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572,23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238,92</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68 398,00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накладные расходы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215,03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сметная прибыль</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97,96</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ФОТ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238,92</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накладные расходы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215,03</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Итого сметная прибыль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97,96</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xml:space="preserve">  Итого по разделу 3 Планировка площадей</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69 522,14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lastRenderedPageBreak/>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xml:space="preserve">  </w:t>
            </w:r>
            <w:proofErr w:type="spellStart"/>
            <w:r w:rsidRPr="00DF66C8">
              <w:rPr>
                <w:rFonts w:ascii="PT Astra Serif" w:hAnsi="PT Astra Serif" w:cs="Arial"/>
                <w:b/>
                <w:bCs/>
                <w:color w:val="000000"/>
                <w:kern w:val="0"/>
                <w:lang w:eastAsia="ru-RU"/>
              </w:rPr>
              <w:t>Справочно</w:t>
            </w:r>
            <w:proofErr w:type="spellEnd"/>
          </w:p>
        </w:tc>
        <w:tc>
          <w:tcPr>
            <w:tcW w:w="514"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1990" w:type="pct"/>
            <w:gridSpan w:val="8"/>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затраты труда машинистов</w:t>
            </w:r>
          </w:p>
        </w:tc>
        <w:tc>
          <w:tcPr>
            <w:tcW w:w="50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0,336</w:t>
            </w:r>
          </w:p>
        </w:tc>
        <w:tc>
          <w:tcPr>
            <w:tcW w:w="1309" w:type="pct"/>
            <w:gridSpan w:val="5"/>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Итоги по смете: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Всего прямые затраты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292 601,80</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рабочих</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152 475,58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13 708,28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8 508,26</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110 955,47</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Перевозка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6 954,21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535 400,58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Строительные работы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528 446,37</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 том числе: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152 475,58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эксплуатация машин и механизмов</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13 708,28</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оплата труда машинистов (</w:t>
            </w:r>
            <w:proofErr w:type="spellStart"/>
            <w:r w:rsidRPr="00DF66C8">
              <w:rPr>
                <w:rFonts w:ascii="PT Astra Serif" w:hAnsi="PT Astra Serif" w:cs="Arial"/>
                <w:color w:val="000000"/>
                <w:kern w:val="0"/>
                <w:lang w:eastAsia="ru-RU"/>
              </w:rPr>
              <w:t>Отм</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8 508,26</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материалы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110 955,47</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накладные расходы</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157 419,14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сметная прибыль</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85 379,64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Перевозка</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6 954,21</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Всего ФОТ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160 983,84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Всего накладные расходы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157 419,14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Всего сметная прибыль (</w:t>
            </w:r>
            <w:proofErr w:type="spellStart"/>
            <w:r w:rsidRPr="00DF66C8">
              <w:rPr>
                <w:rFonts w:ascii="PT Astra Serif" w:hAnsi="PT Astra Serif" w:cs="Arial"/>
                <w:color w:val="000000"/>
                <w:kern w:val="0"/>
                <w:lang w:eastAsia="ru-RU"/>
              </w:rPr>
              <w:t>справочно</w:t>
            </w:r>
            <w:proofErr w:type="spellEnd"/>
            <w:r w:rsidRPr="00DF66C8">
              <w:rPr>
                <w:rFonts w:ascii="PT Astra Serif" w:hAnsi="PT Astra Serif" w:cs="Arial"/>
                <w:color w:val="000000"/>
                <w:kern w:val="0"/>
                <w:lang w:eastAsia="ru-RU"/>
              </w:rPr>
              <w:t>)</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r w:rsidRPr="00DF66C8">
              <w:rPr>
                <w:rFonts w:ascii="PT Astra Serif" w:hAnsi="PT Astra Serif" w:cs="Arial"/>
                <w:color w:val="000000"/>
                <w:kern w:val="0"/>
                <w:lang w:eastAsia="ru-RU"/>
              </w:rPr>
              <w:t>85 379,64</w:t>
            </w: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xml:space="preserve">     НДС 20%</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color w:val="000000"/>
                <w:kern w:val="0"/>
                <w:lang w:eastAsia="ru-RU"/>
              </w:rPr>
            </w:pPr>
          </w:p>
        </w:tc>
      </w:tr>
      <w:tr w:rsidR="001A2F96" w:rsidRPr="00DF66C8" w:rsidTr="00DF66C8">
        <w:trPr>
          <w:trHeight w:val="315"/>
        </w:trPr>
        <w:tc>
          <w:tcPr>
            <w:tcW w:w="155" w:type="pct"/>
            <w:shd w:val="clear" w:color="auto" w:fill="auto"/>
            <w:noWrap/>
            <w:vAlign w:val="bottom"/>
            <w:hideMark/>
          </w:tcPr>
          <w:p w:rsidR="001A2F96" w:rsidRPr="00DF66C8" w:rsidRDefault="001A2F96" w:rsidP="001A2F96">
            <w:pPr>
              <w:suppressAutoHyphens w:val="0"/>
              <w:spacing w:after="0"/>
              <w:jc w:val="left"/>
              <w:rPr>
                <w:rFonts w:ascii="PT Astra Serif" w:hAnsi="PT Astra Serif" w:cs="Arial"/>
                <w:color w:val="000000"/>
                <w:kern w:val="0"/>
                <w:lang w:eastAsia="ru-RU"/>
              </w:rPr>
            </w:pPr>
            <w:r w:rsidRPr="00DF66C8">
              <w:rPr>
                <w:rFonts w:ascii="PT Astra Serif" w:hAnsi="PT Astra Serif" w:cs="Arial"/>
                <w:color w:val="000000"/>
                <w:kern w:val="0"/>
                <w:lang w:eastAsia="ru-RU"/>
              </w:rPr>
              <w:t> </w:t>
            </w:r>
          </w:p>
        </w:tc>
        <w:tc>
          <w:tcPr>
            <w:tcW w:w="528" w:type="pct"/>
            <w:shd w:val="clear" w:color="auto" w:fill="auto"/>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c>
          <w:tcPr>
            <w:tcW w:w="3803" w:type="pct"/>
            <w:gridSpan w:val="14"/>
            <w:shd w:val="clear" w:color="auto" w:fill="auto"/>
            <w:hideMark/>
          </w:tcPr>
          <w:p w:rsidR="001A2F96" w:rsidRPr="00DF66C8" w:rsidRDefault="001A2F96" w:rsidP="001A2F96">
            <w:pPr>
              <w:suppressAutoHyphens w:val="0"/>
              <w:spacing w:after="0"/>
              <w:jc w:val="left"/>
              <w:rPr>
                <w:rFonts w:ascii="PT Astra Serif" w:hAnsi="PT Astra Serif" w:cs="Arial"/>
                <w:b/>
                <w:bCs/>
                <w:color w:val="000000"/>
                <w:kern w:val="0"/>
                <w:lang w:eastAsia="ru-RU"/>
              </w:rPr>
            </w:pPr>
            <w:r w:rsidRPr="00DF66C8">
              <w:rPr>
                <w:rFonts w:ascii="PT Astra Serif" w:hAnsi="PT Astra Serif" w:cs="Arial"/>
                <w:b/>
                <w:bCs/>
                <w:color w:val="000000"/>
                <w:kern w:val="0"/>
                <w:lang w:eastAsia="ru-RU"/>
              </w:rPr>
              <w:t>ВСЕГО по смете</w:t>
            </w:r>
          </w:p>
        </w:tc>
        <w:tc>
          <w:tcPr>
            <w:tcW w:w="514" w:type="pct"/>
            <w:shd w:val="clear" w:color="auto" w:fill="auto"/>
            <w:noWrap/>
            <w:hideMark/>
          </w:tcPr>
          <w:p w:rsidR="001A2F96" w:rsidRPr="00DF66C8" w:rsidRDefault="001A2F96" w:rsidP="001A2F96">
            <w:pPr>
              <w:suppressAutoHyphens w:val="0"/>
              <w:spacing w:after="0"/>
              <w:jc w:val="right"/>
              <w:rPr>
                <w:rFonts w:ascii="PT Astra Serif" w:hAnsi="PT Astra Serif" w:cs="Arial"/>
                <w:b/>
                <w:bCs/>
                <w:color w:val="000000"/>
                <w:kern w:val="0"/>
                <w:lang w:eastAsia="ru-RU"/>
              </w:rPr>
            </w:pPr>
          </w:p>
        </w:tc>
      </w:tr>
    </w:tbl>
    <w:p w:rsidR="001F6594" w:rsidRPr="00DF66C8" w:rsidRDefault="001F6594" w:rsidP="00C6605B">
      <w:pPr>
        <w:rPr>
          <w:rFonts w:ascii="PT Astra Serif" w:hAnsi="PT Astra Serif"/>
          <w:b/>
        </w:rPr>
      </w:pPr>
    </w:p>
    <w:sectPr w:rsidR="001F6594" w:rsidRPr="00DF66C8"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41C88"/>
    <w:rsid w:val="000B2E6F"/>
    <w:rsid w:val="000F522F"/>
    <w:rsid w:val="001032EB"/>
    <w:rsid w:val="00156DE2"/>
    <w:rsid w:val="001615FB"/>
    <w:rsid w:val="00177DB1"/>
    <w:rsid w:val="001A2F96"/>
    <w:rsid w:val="001C57BB"/>
    <w:rsid w:val="001D2873"/>
    <w:rsid w:val="001E5932"/>
    <w:rsid w:val="001F6594"/>
    <w:rsid w:val="00236D17"/>
    <w:rsid w:val="00334EC5"/>
    <w:rsid w:val="0036449D"/>
    <w:rsid w:val="003B7C94"/>
    <w:rsid w:val="003E3EA9"/>
    <w:rsid w:val="004632FB"/>
    <w:rsid w:val="004A19E2"/>
    <w:rsid w:val="004B0EBB"/>
    <w:rsid w:val="004C1973"/>
    <w:rsid w:val="004D05DC"/>
    <w:rsid w:val="004D255B"/>
    <w:rsid w:val="005100F5"/>
    <w:rsid w:val="00515BBB"/>
    <w:rsid w:val="00516D53"/>
    <w:rsid w:val="00543929"/>
    <w:rsid w:val="00546BE0"/>
    <w:rsid w:val="00556D72"/>
    <w:rsid w:val="005905B5"/>
    <w:rsid w:val="005974D4"/>
    <w:rsid w:val="00625698"/>
    <w:rsid w:val="00670978"/>
    <w:rsid w:val="006B5B26"/>
    <w:rsid w:val="00725AF3"/>
    <w:rsid w:val="00751CDB"/>
    <w:rsid w:val="0079774D"/>
    <w:rsid w:val="007C08EE"/>
    <w:rsid w:val="007C1824"/>
    <w:rsid w:val="007D74BF"/>
    <w:rsid w:val="007F6622"/>
    <w:rsid w:val="00830F1C"/>
    <w:rsid w:val="00895006"/>
    <w:rsid w:val="008C60D7"/>
    <w:rsid w:val="008D54DA"/>
    <w:rsid w:val="008D5D90"/>
    <w:rsid w:val="00904E2C"/>
    <w:rsid w:val="009372A6"/>
    <w:rsid w:val="009B1908"/>
    <w:rsid w:val="009E0870"/>
    <w:rsid w:val="00A14FE3"/>
    <w:rsid w:val="00A158E2"/>
    <w:rsid w:val="00A45AD5"/>
    <w:rsid w:val="00A51C9B"/>
    <w:rsid w:val="00A77643"/>
    <w:rsid w:val="00AC1577"/>
    <w:rsid w:val="00AC1848"/>
    <w:rsid w:val="00AC3D83"/>
    <w:rsid w:val="00B210C6"/>
    <w:rsid w:val="00B268C7"/>
    <w:rsid w:val="00B72BA1"/>
    <w:rsid w:val="00BA7CC5"/>
    <w:rsid w:val="00BB3377"/>
    <w:rsid w:val="00BF609E"/>
    <w:rsid w:val="00C063E5"/>
    <w:rsid w:val="00C6605B"/>
    <w:rsid w:val="00C74B52"/>
    <w:rsid w:val="00DD51C3"/>
    <w:rsid w:val="00DF3A03"/>
    <w:rsid w:val="00DF66C8"/>
    <w:rsid w:val="00E058C8"/>
    <w:rsid w:val="00E12E96"/>
    <w:rsid w:val="00E136F9"/>
    <w:rsid w:val="00EC3D1D"/>
    <w:rsid w:val="00EE551F"/>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109093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20507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12</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48</cp:revision>
  <cp:lastPrinted>2024-06-27T07:22:00Z</cp:lastPrinted>
  <dcterms:created xsi:type="dcterms:W3CDTF">2024-02-02T07:51:00Z</dcterms:created>
  <dcterms:modified xsi:type="dcterms:W3CDTF">2024-06-27T07:23:00Z</dcterms:modified>
</cp:coreProperties>
</file>